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B4" w:rsidRPr="00C11C26" w:rsidRDefault="001438B4" w:rsidP="001438B4">
      <w:pPr>
        <w:snapToGrid w:val="0"/>
        <w:spacing w:line="360" w:lineRule="auto"/>
        <w:rPr>
          <w:rFonts w:ascii="华文仿宋" w:eastAsia="华文仿宋" w:hAnsi="华文仿宋"/>
          <w:b/>
          <w:bCs/>
          <w:sz w:val="30"/>
          <w:szCs w:val="30"/>
        </w:rPr>
      </w:pPr>
      <w:r w:rsidRPr="00C11C26">
        <w:rPr>
          <w:rFonts w:ascii="华文仿宋" w:eastAsia="华文仿宋" w:hAnsi="华文仿宋"/>
          <w:b/>
          <w:bCs/>
          <w:sz w:val="30"/>
          <w:szCs w:val="30"/>
        </w:rPr>
        <w:t>附件</w:t>
      </w:r>
      <w:r>
        <w:rPr>
          <w:rFonts w:ascii="华文仿宋" w:eastAsia="华文仿宋" w:hAnsi="华文仿宋" w:hint="eastAsia"/>
          <w:b/>
          <w:bCs/>
          <w:sz w:val="30"/>
          <w:szCs w:val="30"/>
        </w:rPr>
        <w:t>3</w:t>
      </w:r>
    </w:p>
    <w:p w:rsidR="001438B4" w:rsidRPr="00831F8B" w:rsidRDefault="001438B4" w:rsidP="001438B4">
      <w:pPr>
        <w:widowControl/>
        <w:autoSpaceDE w:val="0"/>
        <w:autoSpaceDN w:val="0"/>
        <w:adjustRightInd w:val="0"/>
        <w:spacing w:after="200" w:line="360" w:lineRule="auto"/>
        <w:jc w:val="left"/>
        <w:rPr>
          <w:rFonts w:ascii="方正小标宋简体" w:eastAsia="方正小标宋简体"/>
          <w:sz w:val="36"/>
          <w:szCs w:val="36"/>
        </w:rPr>
      </w:pPr>
      <w:r>
        <w:rPr>
          <w:rFonts w:ascii="方正小标宋简体" w:eastAsia="方正小标宋简体" w:hint="eastAsia"/>
          <w:sz w:val="36"/>
          <w:szCs w:val="36"/>
        </w:rPr>
        <w:t>“</w:t>
      </w:r>
      <w:r w:rsidRPr="00831F8B">
        <w:rPr>
          <w:rFonts w:ascii="方正小标宋简体" w:eastAsia="方正小标宋简体" w:hint="eastAsia"/>
          <w:sz w:val="36"/>
          <w:szCs w:val="36"/>
        </w:rPr>
        <w:t>新思路与新理论</w:t>
      </w:r>
      <w:r>
        <w:rPr>
          <w:rFonts w:ascii="方正小标宋简体" w:eastAsia="方正小标宋简体" w:hint="eastAsia"/>
          <w:sz w:val="36"/>
          <w:szCs w:val="36"/>
        </w:rPr>
        <w:t>”</w:t>
      </w:r>
      <w:r w:rsidRPr="00831F8B">
        <w:rPr>
          <w:rFonts w:ascii="方正小标宋简体" w:eastAsia="方正小标宋简体" w:hint="eastAsia"/>
          <w:sz w:val="36"/>
          <w:szCs w:val="36"/>
        </w:rPr>
        <w:t>范文</w:t>
      </w:r>
    </w:p>
    <w:p w:rsidR="001438B4" w:rsidRPr="00831F8B" w:rsidRDefault="001438B4" w:rsidP="001438B4">
      <w:pPr>
        <w:widowControl/>
        <w:spacing w:after="200"/>
        <w:jc w:val="center"/>
        <w:rPr>
          <w:rFonts w:hAnsi="Calibri"/>
          <w:b/>
          <w:kern w:val="0"/>
          <w:sz w:val="28"/>
          <w:szCs w:val="28"/>
        </w:rPr>
      </w:pPr>
      <w:r w:rsidRPr="00831F8B">
        <w:rPr>
          <w:rFonts w:hAnsi="Calibri" w:hint="eastAsia"/>
          <w:b/>
          <w:kern w:val="0"/>
          <w:sz w:val="28"/>
          <w:szCs w:val="28"/>
        </w:rPr>
        <w:t>农药的发展与绿色植保</w:t>
      </w:r>
    </w:p>
    <w:p w:rsidR="001438B4" w:rsidRPr="00831F8B" w:rsidRDefault="001438B4" w:rsidP="001438B4">
      <w:pPr>
        <w:widowControl/>
        <w:spacing w:after="200"/>
        <w:jc w:val="center"/>
        <w:rPr>
          <w:b/>
          <w:kern w:val="0"/>
          <w:sz w:val="28"/>
          <w:szCs w:val="28"/>
        </w:rPr>
      </w:pPr>
      <w:r w:rsidRPr="00831F8B">
        <w:rPr>
          <w:rFonts w:hAnsi="Calibri" w:hint="eastAsia"/>
          <w:b/>
          <w:kern w:val="0"/>
          <w:sz w:val="28"/>
          <w:szCs w:val="28"/>
        </w:rPr>
        <w:t>（</w:t>
      </w:r>
      <w:r w:rsidRPr="00831F8B">
        <w:rPr>
          <w:rFonts w:hAnsi="Calibri" w:hint="eastAsia"/>
          <w:b/>
          <w:kern w:val="0"/>
          <w:sz w:val="28"/>
          <w:szCs w:val="28"/>
        </w:rPr>
        <w:t>Development of Pestcide and Green Plant Protection</w:t>
      </w:r>
      <w:r w:rsidRPr="00831F8B">
        <w:rPr>
          <w:rFonts w:hAnsi="Calibri" w:hint="eastAsia"/>
          <w:b/>
          <w:kern w:val="0"/>
          <w:sz w:val="28"/>
          <w:szCs w:val="28"/>
        </w:rPr>
        <w:t>）</w:t>
      </w:r>
    </w:p>
    <w:p w:rsidR="001438B4" w:rsidRPr="00831F8B" w:rsidRDefault="001438B4" w:rsidP="001438B4">
      <w:pPr>
        <w:widowControl/>
        <w:spacing w:after="200"/>
        <w:jc w:val="center"/>
        <w:rPr>
          <w:kern w:val="0"/>
          <w:sz w:val="24"/>
        </w:rPr>
      </w:pPr>
      <w:r w:rsidRPr="00831F8B">
        <w:rPr>
          <w:rFonts w:hAnsi="Calibri" w:hint="eastAsia"/>
          <w:kern w:val="0"/>
          <w:sz w:val="24"/>
        </w:rPr>
        <w:t>高希武（</w:t>
      </w:r>
      <w:r w:rsidRPr="00831F8B">
        <w:rPr>
          <w:rFonts w:hAnsi="Calibri" w:hint="eastAsia"/>
          <w:kern w:val="0"/>
          <w:sz w:val="24"/>
        </w:rPr>
        <w:t>Xiwu Gao</w:t>
      </w:r>
      <w:r w:rsidRPr="00831F8B">
        <w:rPr>
          <w:rFonts w:hAnsi="Calibri" w:hint="eastAsia"/>
          <w:kern w:val="0"/>
          <w:sz w:val="24"/>
        </w:rPr>
        <w:t>）</w:t>
      </w:r>
    </w:p>
    <w:p w:rsidR="001438B4" w:rsidRPr="00831F8B" w:rsidRDefault="001438B4" w:rsidP="001438B4">
      <w:pPr>
        <w:widowControl/>
        <w:spacing w:after="200"/>
        <w:jc w:val="center"/>
        <w:rPr>
          <w:kern w:val="0"/>
          <w:sz w:val="20"/>
          <w:szCs w:val="20"/>
        </w:rPr>
      </w:pPr>
      <w:r w:rsidRPr="00831F8B">
        <w:rPr>
          <w:rFonts w:hint="eastAsia"/>
          <w:kern w:val="0"/>
          <w:sz w:val="20"/>
          <w:szCs w:val="20"/>
        </w:rPr>
        <w:t>(</w:t>
      </w:r>
      <w:r w:rsidRPr="00831F8B">
        <w:rPr>
          <w:rFonts w:hAnsi="Calibri" w:hint="eastAsia"/>
          <w:kern w:val="0"/>
          <w:sz w:val="20"/>
          <w:szCs w:val="20"/>
        </w:rPr>
        <w:t>中国农业大学农学与生物技术学院昆虫学系，北京，</w:t>
      </w:r>
      <w:r w:rsidRPr="00831F8B">
        <w:rPr>
          <w:rFonts w:hint="eastAsia"/>
          <w:kern w:val="0"/>
          <w:sz w:val="20"/>
          <w:szCs w:val="20"/>
        </w:rPr>
        <w:t>100194</w:t>
      </w:r>
      <w:r w:rsidRPr="00831F8B">
        <w:rPr>
          <w:rFonts w:hint="eastAsia"/>
          <w:kern w:val="0"/>
          <w:sz w:val="20"/>
          <w:szCs w:val="20"/>
        </w:rPr>
        <w:t>，</w:t>
      </w:r>
      <w:r w:rsidRPr="00831F8B">
        <w:rPr>
          <w:rFonts w:hint="eastAsia"/>
          <w:kern w:val="0"/>
          <w:sz w:val="20"/>
          <w:szCs w:val="20"/>
        </w:rPr>
        <w:t>Email</w:t>
      </w:r>
      <w:r w:rsidRPr="00831F8B">
        <w:rPr>
          <w:rFonts w:hint="eastAsia"/>
          <w:kern w:val="0"/>
          <w:sz w:val="20"/>
          <w:szCs w:val="20"/>
        </w:rPr>
        <w:t>：</w:t>
      </w:r>
      <w:r w:rsidRPr="00831F8B">
        <w:rPr>
          <w:rFonts w:hint="eastAsia"/>
          <w:kern w:val="0"/>
          <w:sz w:val="20"/>
          <w:szCs w:val="20"/>
        </w:rPr>
        <w:t>entomol@cau.edu.cn)</w:t>
      </w:r>
    </w:p>
    <w:p w:rsidR="001438B4" w:rsidRPr="00831F8B" w:rsidRDefault="001438B4" w:rsidP="001438B4">
      <w:pPr>
        <w:widowControl/>
        <w:spacing w:after="200"/>
        <w:jc w:val="left"/>
        <w:rPr>
          <w:b/>
          <w:kern w:val="0"/>
          <w:sz w:val="20"/>
          <w:szCs w:val="20"/>
        </w:rPr>
      </w:pPr>
      <w:r w:rsidRPr="00831F8B">
        <w:rPr>
          <w:rFonts w:hAnsi="Calibri" w:hint="eastAsia"/>
          <w:b/>
          <w:kern w:val="0"/>
          <w:sz w:val="20"/>
          <w:szCs w:val="20"/>
        </w:rPr>
        <w:t>关健词：农药；绿色植保；环境影响</w:t>
      </w:r>
    </w:p>
    <w:p w:rsidR="001438B4" w:rsidRPr="00831F8B" w:rsidRDefault="001438B4" w:rsidP="001438B4">
      <w:pPr>
        <w:widowControl/>
        <w:spacing w:after="200"/>
        <w:jc w:val="left"/>
        <w:rPr>
          <w:kern w:val="0"/>
          <w:sz w:val="24"/>
        </w:rPr>
      </w:pPr>
      <w:r>
        <w:rPr>
          <w:rFonts w:hAnsi="Calibri" w:hint="eastAsia"/>
          <w:kern w:val="0"/>
          <w:sz w:val="24"/>
        </w:rPr>
        <w:t xml:space="preserve">    </w:t>
      </w:r>
      <w:r w:rsidRPr="00831F8B">
        <w:rPr>
          <w:rFonts w:hAnsi="Calibri" w:hint="eastAsia"/>
          <w:kern w:val="0"/>
          <w:sz w:val="24"/>
        </w:rPr>
        <w:t>环境质量已经成为了人类生存的主要问题，当今急迫的任务是保护我们生存的空气、水、土地以及野生生物。农药作为改善我们生存的环境或质量的工具与污染有时是很难区分的，农药使用脱离了靶标使之成为了污染，而一些农药的非生物降解和积累特性进一步加重了农药污染。关于农药对环境的影响的著作与</w:t>
      </w:r>
      <w:r w:rsidRPr="00831F8B">
        <w:rPr>
          <w:rFonts w:hint="eastAsia"/>
          <w:kern w:val="0"/>
          <w:sz w:val="24"/>
        </w:rPr>
        <w:t>“</w:t>
      </w:r>
      <w:r w:rsidRPr="00831F8B">
        <w:rPr>
          <w:kern w:val="0"/>
          <w:sz w:val="24"/>
        </w:rPr>
        <w:t>S</w:t>
      </w:r>
      <w:r w:rsidRPr="00831F8B">
        <w:rPr>
          <w:rFonts w:hint="eastAsia"/>
          <w:kern w:val="0"/>
          <w:sz w:val="24"/>
        </w:rPr>
        <w:t>ilent Spring</w:t>
      </w:r>
      <w:r w:rsidRPr="00831F8B">
        <w:rPr>
          <w:rFonts w:hint="eastAsia"/>
          <w:kern w:val="0"/>
          <w:sz w:val="24"/>
        </w:rPr>
        <w:t>”</w:t>
      </w:r>
      <w:r w:rsidRPr="00831F8B">
        <w:rPr>
          <w:rFonts w:hAnsi="Calibri" w:hint="eastAsia"/>
          <w:kern w:val="0"/>
          <w:sz w:val="24"/>
        </w:rPr>
        <w:t>有关的有</w:t>
      </w:r>
      <w:r w:rsidRPr="00831F8B">
        <w:rPr>
          <w:rFonts w:hint="eastAsia"/>
          <w:kern w:val="0"/>
          <w:sz w:val="24"/>
        </w:rPr>
        <w:t>4</w:t>
      </w:r>
      <w:r w:rsidRPr="00831F8B">
        <w:rPr>
          <w:rFonts w:hAnsi="Calibri" w:hint="eastAsia"/>
          <w:kern w:val="0"/>
          <w:sz w:val="24"/>
        </w:rPr>
        <w:t>部，第一部是</w:t>
      </w:r>
      <w:r w:rsidRPr="00831F8B">
        <w:rPr>
          <w:rFonts w:hint="eastAsia"/>
          <w:kern w:val="0"/>
          <w:sz w:val="24"/>
        </w:rPr>
        <w:t>Raehel Carson</w:t>
      </w:r>
      <w:r w:rsidRPr="00831F8B">
        <w:rPr>
          <w:rFonts w:hAnsi="Calibri" w:hint="eastAsia"/>
          <w:kern w:val="0"/>
          <w:sz w:val="24"/>
        </w:rPr>
        <w:t>在</w:t>
      </w:r>
      <w:r w:rsidRPr="00831F8B">
        <w:rPr>
          <w:rFonts w:hint="eastAsia"/>
          <w:kern w:val="0"/>
          <w:sz w:val="24"/>
        </w:rPr>
        <w:t>1962</w:t>
      </w:r>
      <w:r w:rsidRPr="00831F8B">
        <w:rPr>
          <w:rFonts w:hAnsi="Calibri" w:hint="eastAsia"/>
          <w:kern w:val="0"/>
          <w:sz w:val="24"/>
        </w:rPr>
        <w:t>年出版的</w:t>
      </w:r>
      <w:r w:rsidRPr="00831F8B">
        <w:rPr>
          <w:rFonts w:hint="eastAsia"/>
          <w:kern w:val="0"/>
          <w:sz w:val="24"/>
        </w:rPr>
        <w:t>“</w:t>
      </w:r>
      <w:r w:rsidRPr="00831F8B">
        <w:rPr>
          <w:rFonts w:hint="eastAsia"/>
          <w:kern w:val="0"/>
          <w:sz w:val="24"/>
        </w:rPr>
        <w:t>Silent Spring</w:t>
      </w:r>
      <w:r w:rsidRPr="00831F8B">
        <w:rPr>
          <w:rFonts w:hint="eastAsia"/>
          <w:kern w:val="0"/>
          <w:sz w:val="24"/>
        </w:rPr>
        <w:t>”，</w:t>
      </w:r>
      <w:r w:rsidRPr="00831F8B">
        <w:rPr>
          <w:rFonts w:hint="eastAsia"/>
          <w:kern w:val="0"/>
          <w:sz w:val="24"/>
        </w:rPr>
        <w:t>Frank Graham Jr</w:t>
      </w:r>
      <w:r w:rsidRPr="00831F8B">
        <w:rPr>
          <w:rFonts w:hAnsi="Calibri" w:hint="eastAsia"/>
          <w:kern w:val="0"/>
          <w:sz w:val="24"/>
        </w:rPr>
        <w:t>在</w:t>
      </w:r>
      <w:r w:rsidRPr="00831F8B">
        <w:rPr>
          <w:rFonts w:hint="eastAsia"/>
          <w:kern w:val="0"/>
          <w:sz w:val="24"/>
        </w:rPr>
        <w:t>1970</w:t>
      </w:r>
      <w:r w:rsidRPr="00831F8B">
        <w:rPr>
          <w:rFonts w:hAnsi="Calibri" w:hint="eastAsia"/>
          <w:kern w:val="0"/>
          <w:sz w:val="24"/>
        </w:rPr>
        <w:t>年出版了第二部书名叫</w:t>
      </w:r>
      <w:r w:rsidRPr="00831F8B">
        <w:rPr>
          <w:rFonts w:hint="eastAsia"/>
          <w:kern w:val="0"/>
          <w:sz w:val="24"/>
        </w:rPr>
        <w:t>“</w:t>
      </w:r>
      <w:r w:rsidRPr="00831F8B">
        <w:rPr>
          <w:rFonts w:hint="eastAsia"/>
          <w:kern w:val="0"/>
          <w:sz w:val="24"/>
        </w:rPr>
        <w:t>Since Silent Spring</w:t>
      </w:r>
      <w:r w:rsidRPr="00831F8B">
        <w:rPr>
          <w:rFonts w:hint="eastAsia"/>
          <w:kern w:val="0"/>
          <w:sz w:val="24"/>
        </w:rPr>
        <w:t>”，</w:t>
      </w:r>
      <w:r w:rsidRPr="00831F8B">
        <w:rPr>
          <w:rFonts w:hAnsi="Calibri" w:hint="eastAsia"/>
          <w:kern w:val="0"/>
          <w:sz w:val="24"/>
        </w:rPr>
        <w:t>第三部是美国化学会（</w:t>
      </w:r>
      <w:r w:rsidRPr="00831F8B">
        <w:rPr>
          <w:rFonts w:hint="eastAsia"/>
          <w:kern w:val="0"/>
          <w:sz w:val="24"/>
        </w:rPr>
        <w:t>American Chemical Society</w:t>
      </w:r>
      <w:r w:rsidRPr="00831F8B">
        <w:rPr>
          <w:rFonts w:hint="eastAsia"/>
          <w:kern w:val="0"/>
          <w:sz w:val="24"/>
        </w:rPr>
        <w:t>）</w:t>
      </w:r>
      <w:r w:rsidRPr="00831F8B">
        <w:rPr>
          <w:rFonts w:hint="eastAsia"/>
          <w:kern w:val="0"/>
          <w:sz w:val="24"/>
        </w:rPr>
        <w:t>1987</w:t>
      </w:r>
      <w:r w:rsidRPr="00831F8B">
        <w:rPr>
          <w:rFonts w:hAnsi="Calibri" w:hint="eastAsia"/>
          <w:kern w:val="0"/>
          <w:sz w:val="24"/>
        </w:rPr>
        <w:t>出版的</w:t>
      </w:r>
      <w:r w:rsidRPr="00831F8B">
        <w:rPr>
          <w:rFonts w:hint="eastAsia"/>
          <w:kern w:val="0"/>
          <w:sz w:val="24"/>
        </w:rPr>
        <w:t>“</w:t>
      </w:r>
      <w:r w:rsidRPr="00831F8B">
        <w:rPr>
          <w:rFonts w:hint="eastAsia"/>
          <w:kern w:val="0"/>
          <w:sz w:val="24"/>
        </w:rPr>
        <w:t>Silent Spring Revisited</w:t>
      </w:r>
      <w:r w:rsidRPr="00831F8B">
        <w:rPr>
          <w:rFonts w:hint="eastAsia"/>
          <w:kern w:val="0"/>
          <w:sz w:val="24"/>
        </w:rPr>
        <w:t>”，</w:t>
      </w:r>
      <w:r w:rsidRPr="00831F8B">
        <w:rPr>
          <w:rFonts w:hint="eastAsia"/>
          <w:kern w:val="0"/>
          <w:sz w:val="24"/>
        </w:rPr>
        <w:t>Helmut F. van Emden</w:t>
      </w:r>
      <w:r w:rsidRPr="00831F8B">
        <w:rPr>
          <w:rFonts w:hAnsi="Calibri" w:hint="eastAsia"/>
          <w:kern w:val="0"/>
          <w:sz w:val="24"/>
        </w:rPr>
        <w:t>和</w:t>
      </w:r>
      <w:r w:rsidRPr="00831F8B">
        <w:rPr>
          <w:rFonts w:hint="eastAsia"/>
          <w:kern w:val="0"/>
          <w:sz w:val="24"/>
        </w:rPr>
        <w:t>David B. Peakall</w:t>
      </w:r>
      <w:r w:rsidRPr="00831F8B">
        <w:rPr>
          <w:rFonts w:hAnsi="Calibri" w:hint="eastAsia"/>
          <w:kern w:val="0"/>
          <w:sz w:val="24"/>
        </w:rPr>
        <w:t>在</w:t>
      </w:r>
      <w:r w:rsidRPr="00831F8B">
        <w:rPr>
          <w:rFonts w:hint="eastAsia"/>
          <w:kern w:val="0"/>
          <w:sz w:val="24"/>
        </w:rPr>
        <w:t>1996</w:t>
      </w:r>
      <w:r w:rsidRPr="00831F8B">
        <w:rPr>
          <w:rFonts w:hAnsi="Calibri" w:hint="eastAsia"/>
          <w:kern w:val="0"/>
          <w:sz w:val="24"/>
        </w:rPr>
        <w:t>年出版了</w:t>
      </w:r>
      <w:r w:rsidRPr="00831F8B">
        <w:rPr>
          <w:rFonts w:hint="eastAsia"/>
          <w:kern w:val="0"/>
          <w:sz w:val="24"/>
        </w:rPr>
        <w:t>“</w:t>
      </w:r>
      <w:r w:rsidRPr="00831F8B">
        <w:rPr>
          <w:rFonts w:hint="eastAsia"/>
          <w:kern w:val="0"/>
          <w:sz w:val="24"/>
        </w:rPr>
        <w:t>Beyond Silent Spring</w:t>
      </w:r>
      <w:r w:rsidRPr="00831F8B">
        <w:rPr>
          <w:rFonts w:hint="eastAsia"/>
          <w:kern w:val="0"/>
          <w:sz w:val="24"/>
        </w:rPr>
        <w:t>”</w:t>
      </w:r>
      <w:r w:rsidRPr="00831F8B">
        <w:rPr>
          <w:rFonts w:hAnsi="Calibri" w:hint="eastAsia"/>
          <w:kern w:val="0"/>
          <w:sz w:val="24"/>
        </w:rPr>
        <w:t>。尽管化学防治一直受到人们的抨击，但是化学防治的面积并没有明显减少。说明在农业生产实践中，农药仍然是控制害虫危害的重要措施之一，这样就要求我们植保工作者特别是从事化学防治的研究和应用人员改进化学防治，减少或消除不良影响。农药合理使用对环境是有帮助的。多年来农药一直用来控制对人类有害的害虫，例如携带瘟疫的老鼠，携带疟疾的蚊子以及为害农作物的病虫草鼠等。</w:t>
      </w:r>
    </w:p>
    <w:p w:rsidR="001438B4" w:rsidRPr="00831F8B" w:rsidRDefault="001438B4" w:rsidP="001438B4">
      <w:pPr>
        <w:widowControl/>
        <w:spacing w:after="200"/>
        <w:jc w:val="left"/>
        <w:rPr>
          <w:kern w:val="0"/>
          <w:sz w:val="24"/>
        </w:rPr>
      </w:pPr>
      <w:r w:rsidRPr="00831F8B">
        <w:rPr>
          <w:rFonts w:hint="eastAsia"/>
          <w:kern w:val="0"/>
          <w:sz w:val="24"/>
        </w:rPr>
        <w:t xml:space="preserve">        </w:t>
      </w:r>
      <w:r w:rsidRPr="00831F8B">
        <w:rPr>
          <w:rFonts w:hAnsi="Calibri" w:hint="eastAsia"/>
          <w:kern w:val="0"/>
          <w:sz w:val="24"/>
        </w:rPr>
        <w:t>自从</w:t>
      </w:r>
      <w:r w:rsidRPr="00831F8B">
        <w:rPr>
          <w:rFonts w:hint="eastAsia"/>
          <w:kern w:val="0"/>
          <w:sz w:val="24"/>
        </w:rPr>
        <w:t>“</w:t>
      </w:r>
      <w:r w:rsidRPr="00831F8B">
        <w:rPr>
          <w:kern w:val="0"/>
          <w:sz w:val="24"/>
        </w:rPr>
        <w:t>S</w:t>
      </w:r>
      <w:r w:rsidRPr="00831F8B">
        <w:rPr>
          <w:rFonts w:hint="eastAsia"/>
          <w:kern w:val="0"/>
          <w:sz w:val="24"/>
        </w:rPr>
        <w:t>ilent Spring</w:t>
      </w:r>
      <w:r w:rsidRPr="00831F8B">
        <w:rPr>
          <w:rFonts w:hint="eastAsia"/>
          <w:kern w:val="0"/>
          <w:sz w:val="24"/>
        </w:rPr>
        <w:t>”</w:t>
      </w:r>
      <w:r w:rsidRPr="00831F8B">
        <w:rPr>
          <w:rFonts w:hAnsi="Calibri" w:hint="eastAsia"/>
          <w:kern w:val="0"/>
          <w:sz w:val="24"/>
        </w:rPr>
        <w:t>以极度夸张的手法对农药的环境影响给予评述以后</w:t>
      </w:r>
      <w:r w:rsidRPr="00831F8B">
        <w:rPr>
          <w:rFonts w:hint="eastAsia"/>
          <w:kern w:val="0"/>
          <w:sz w:val="24"/>
        </w:rPr>
        <w:t>，</w:t>
      </w:r>
      <w:r w:rsidRPr="00831F8B">
        <w:rPr>
          <w:rFonts w:hAnsi="Calibri" w:hint="eastAsia"/>
          <w:kern w:val="0"/>
          <w:sz w:val="24"/>
        </w:rPr>
        <w:t>确实促进了政府部门对环境的重视，同时也激励了农药工作者开发研制对环境友善的农药</w:t>
      </w:r>
      <w:r w:rsidRPr="00831F8B">
        <w:rPr>
          <w:rFonts w:hint="eastAsia"/>
          <w:kern w:val="0"/>
          <w:sz w:val="24"/>
        </w:rPr>
        <w:t>，</w:t>
      </w:r>
      <w:r w:rsidRPr="00831F8B">
        <w:rPr>
          <w:rFonts w:hAnsi="Calibri" w:hint="eastAsia"/>
          <w:kern w:val="0"/>
          <w:sz w:val="24"/>
        </w:rPr>
        <w:t>发展对环境友善的施药技术。从</w:t>
      </w:r>
      <w:r w:rsidRPr="00831F8B">
        <w:rPr>
          <w:rFonts w:hint="eastAsia"/>
          <w:kern w:val="0"/>
          <w:sz w:val="24"/>
        </w:rPr>
        <w:t>Science</w:t>
      </w:r>
      <w:r w:rsidRPr="00831F8B">
        <w:rPr>
          <w:rFonts w:hAnsi="Calibri" w:hint="eastAsia"/>
          <w:kern w:val="0"/>
          <w:sz w:val="24"/>
        </w:rPr>
        <w:t>上发表的有关农药论文的数量可以看出近年来发表关于农药研究的论文明显增长。</w:t>
      </w:r>
      <w:r w:rsidRPr="00831F8B">
        <w:rPr>
          <w:rFonts w:hint="eastAsia"/>
          <w:kern w:val="0"/>
          <w:sz w:val="24"/>
        </w:rPr>
        <w:t>2001~2006</w:t>
      </w:r>
      <w:r w:rsidRPr="00831F8B">
        <w:rPr>
          <w:rFonts w:hAnsi="Calibri" w:hint="eastAsia"/>
          <w:kern w:val="0"/>
          <w:sz w:val="24"/>
        </w:rPr>
        <w:t>年上半年发表的关于农药论文的数量比过去</w:t>
      </w:r>
      <w:r w:rsidRPr="00831F8B">
        <w:rPr>
          <w:rFonts w:hint="eastAsia"/>
          <w:kern w:val="0"/>
          <w:sz w:val="24"/>
        </w:rPr>
        <w:t>20</w:t>
      </w:r>
      <w:r w:rsidRPr="00831F8B">
        <w:rPr>
          <w:rFonts w:hAnsi="Calibri" w:hint="eastAsia"/>
          <w:kern w:val="0"/>
          <w:sz w:val="24"/>
        </w:rPr>
        <w:t>年（</w:t>
      </w:r>
      <w:r w:rsidRPr="00831F8B">
        <w:rPr>
          <w:rFonts w:hint="eastAsia"/>
          <w:kern w:val="0"/>
          <w:sz w:val="24"/>
        </w:rPr>
        <w:t>1981~2000</w:t>
      </w:r>
      <w:r w:rsidRPr="00831F8B">
        <w:rPr>
          <w:rFonts w:hAnsi="Calibri" w:hint="eastAsia"/>
          <w:kern w:val="0"/>
          <w:sz w:val="24"/>
        </w:rPr>
        <w:t>年）的数量还要多（图</w:t>
      </w:r>
      <w:r w:rsidRPr="00831F8B">
        <w:rPr>
          <w:rFonts w:hint="eastAsia"/>
          <w:kern w:val="0"/>
          <w:sz w:val="24"/>
        </w:rPr>
        <w:t>l</w:t>
      </w:r>
      <w:r w:rsidRPr="00831F8B">
        <w:rPr>
          <w:rFonts w:hint="eastAsia"/>
          <w:kern w:val="0"/>
          <w:sz w:val="24"/>
        </w:rPr>
        <w:t>）</w:t>
      </w:r>
      <w:r w:rsidRPr="00831F8B">
        <w:rPr>
          <w:rFonts w:hAnsi="Calibri" w:hint="eastAsia"/>
          <w:kern w:val="0"/>
          <w:sz w:val="24"/>
        </w:rPr>
        <w:t>。说明农药研究水平（特别是杀虫药剂）近几年明显增加。</w:t>
      </w:r>
    </w:p>
    <w:p w:rsidR="001438B4" w:rsidRPr="00831F8B" w:rsidRDefault="001438B4" w:rsidP="001438B4">
      <w:pPr>
        <w:widowControl/>
        <w:spacing w:after="200"/>
        <w:jc w:val="left"/>
        <w:rPr>
          <w:kern w:val="0"/>
          <w:sz w:val="24"/>
        </w:rPr>
      </w:pPr>
      <w:r w:rsidRPr="00831F8B">
        <w:rPr>
          <w:rFonts w:hint="eastAsia"/>
          <w:kern w:val="0"/>
          <w:sz w:val="24"/>
        </w:rPr>
        <w:t xml:space="preserve">        </w:t>
      </w:r>
      <w:r w:rsidRPr="00831F8B">
        <w:rPr>
          <w:rFonts w:hAnsi="Calibri" w:hint="eastAsia"/>
          <w:kern w:val="0"/>
          <w:sz w:val="24"/>
        </w:rPr>
        <w:t>近</w:t>
      </w:r>
      <w:r w:rsidRPr="00831F8B">
        <w:rPr>
          <w:rFonts w:hint="eastAsia"/>
          <w:kern w:val="0"/>
          <w:sz w:val="24"/>
        </w:rPr>
        <w:t>20</w:t>
      </w:r>
      <w:r w:rsidRPr="00831F8B">
        <w:rPr>
          <w:rFonts w:hAnsi="Calibri" w:hint="eastAsia"/>
          <w:kern w:val="0"/>
          <w:sz w:val="24"/>
        </w:rPr>
        <w:t>年来，农药朝着环境相容性方面发展取得了明显的进展。主要体现在：（</w:t>
      </w:r>
      <w:r w:rsidRPr="00831F8B">
        <w:rPr>
          <w:rFonts w:hAnsi="Calibri" w:hint="eastAsia"/>
          <w:kern w:val="0"/>
          <w:sz w:val="24"/>
        </w:rPr>
        <w:t>1</w:t>
      </w:r>
      <w:r w:rsidRPr="00831F8B">
        <w:rPr>
          <w:rFonts w:hAnsi="Calibri" w:hint="eastAsia"/>
          <w:kern w:val="0"/>
          <w:sz w:val="24"/>
        </w:rPr>
        <w:t>）农药的使用剂量明显降低，由第一代无机农药的十几公斤、几十公斤</w:t>
      </w:r>
      <w:r w:rsidRPr="00831F8B">
        <w:rPr>
          <w:rFonts w:hint="eastAsia"/>
          <w:kern w:val="0"/>
          <w:sz w:val="24"/>
        </w:rPr>
        <w:t>/</w:t>
      </w:r>
      <w:r w:rsidRPr="00831F8B">
        <w:rPr>
          <w:rFonts w:hAnsi="Calibri" w:hint="eastAsia"/>
          <w:kern w:val="0"/>
          <w:sz w:val="24"/>
        </w:rPr>
        <w:t>公项到目前的几克、几十克</w:t>
      </w:r>
      <w:r w:rsidRPr="00831F8B">
        <w:rPr>
          <w:rFonts w:hint="eastAsia"/>
          <w:kern w:val="0"/>
          <w:sz w:val="24"/>
        </w:rPr>
        <w:t>/</w:t>
      </w:r>
      <w:r w:rsidRPr="00831F8B">
        <w:rPr>
          <w:rFonts w:hAnsi="Calibri" w:hint="eastAsia"/>
          <w:kern w:val="0"/>
          <w:sz w:val="24"/>
        </w:rPr>
        <w:t>公项，说明农药在向高效化发展，结果是减少了对环境的影响。说明农药对靶标生物的活性明显得到了加强。（</w:t>
      </w:r>
      <w:r w:rsidRPr="00831F8B">
        <w:rPr>
          <w:rFonts w:hAnsi="Calibri" w:hint="eastAsia"/>
          <w:kern w:val="0"/>
          <w:sz w:val="24"/>
        </w:rPr>
        <w:t>2</w:t>
      </w:r>
      <w:r w:rsidRPr="00831F8B">
        <w:rPr>
          <w:rFonts w:hAnsi="Calibri" w:hint="eastAsia"/>
          <w:kern w:val="0"/>
          <w:sz w:val="24"/>
        </w:rPr>
        <w:t>）对非靶标生物的毒性明显降低，由过去的无选择性到目前的强选择性，有些药剂对高等动物基本无毒。另一方面是新型药剂对天敌的保护作用</w:t>
      </w:r>
      <w:r w:rsidRPr="00831F8B">
        <w:rPr>
          <w:rFonts w:hint="eastAsia"/>
          <w:kern w:val="0"/>
          <w:sz w:val="24"/>
        </w:rPr>
        <w:t>，</w:t>
      </w:r>
      <w:r w:rsidRPr="00831F8B">
        <w:rPr>
          <w:rFonts w:hAnsi="Calibri" w:hint="eastAsia"/>
          <w:kern w:val="0"/>
          <w:sz w:val="24"/>
        </w:rPr>
        <w:t>如吡虫啉、抗蚜威等。对植物的安全系数也明显提高。（</w:t>
      </w:r>
      <w:r w:rsidRPr="00831F8B">
        <w:rPr>
          <w:rFonts w:hAnsi="Calibri" w:hint="eastAsia"/>
          <w:kern w:val="0"/>
          <w:sz w:val="24"/>
        </w:rPr>
        <w:t>3</w:t>
      </w:r>
      <w:r w:rsidRPr="00831F8B">
        <w:rPr>
          <w:rFonts w:hAnsi="Calibri" w:hint="eastAsia"/>
          <w:kern w:val="0"/>
          <w:sz w:val="24"/>
        </w:rPr>
        <w:t>）农药新靶标的开发利用，特别是对防治对象特有靶标的开发利用，如昆虫的几丁质合成抑制剂。（</w:t>
      </w:r>
      <w:r w:rsidRPr="00831F8B">
        <w:rPr>
          <w:rFonts w:hAnsi="Calibri" w:hint="eastAsia"/>
          <w:kern w:val="0"/>
          <w:sz w:val="24"/>
        </w:rPr>
        <w:t>4</w:t>
      </w:r>
      <w:r w:rsidRPr="00831F8B">
        <w:rPr>
          <w:rFonts w:hAnsi="Calibri" w:hint="eastAsia"/>
          <w:kern w:val="0"/>
          <w:sz w:val="24"/>
        </w:rPr>
        <w:t>）有害生物抗药性的治理</w:t>
      </w:r>
      <w:r w:rsidRPr="00831F8B">
        <w:rPr>
          <w:rFonts w:hAnsi="Calibri" w:hint="eastAsia"/>
          <w:kern w:val="0"/>
          <w:sz w:val="24"/>
        </w:rPr>
        <w:lastRenderedPageBreak/>
        <w:t>是延长新型高效农药使用寿命的主要措施，如抗药性基因的早期快速检测、以抗药性基因为依据的农药使用空间和时间的组合达到抗药性治理的目的。</w:t>
      </w:r>
    </w:p>
    <w:p w:rsidR="001438B4" w:rsidRPr="00831F8B" w:rsidRDefault="001438B4" w:rsidP="001438B4">
      <w:pPr>
        <w:widowControl/>
        <w:spacing w:after="200"/>
        <w:jc w:val="left"/>
        <w:rPr>
          <w:rFonts w:hAnsi="Calibri"/>
          <w:kern w:val="0"/>
          <w:sz w:val="24"/>
        </w:rPr>
      </w:pPr>
      <w:r w:rsidRPr="00831F8B">
        <w:rPr>
          <w:rFonts w:hint="eastAsia"/>
          <w:kern w:val="0"/>
          <w:sz w:val="24"/>
        </w:rPr>
        <w:t xml:space="preserve">        </w:t>
      </w:r>
      <w:r w:rsidRPr="00831F8B">
        <w:rPr>
          <w:rFonts w:hAnsi="Calibri" w:hint="eastAsia"/>
          <w:kern w:val="0"/>
          <w:sz w:val="24"/>
        </w:rPr>
        <w:t>新农药创制的思路将会是一个全新的完全不同于目前的思路。图</w:t>
      </w:r>
      <w:r w:rsidRPr="00831F8B">
        <w:rPr>
          <w:rFonts w:hint="eastAsia"/>
          <w:kern w:val="0"/>
          <w:sz w:val="24"/>
        </w:rPr>
        <w:t>2</w:t>
      </w:r>
      <w:r w:rsidRPr="00831F8B">
        <w:rPr>
          <w:rFonts w:hAnsi="Calibri" w:hint="eastAsia"/>
          <w:kern w:val="0"/>
          <w:sz w:val="24"/>
        </w:rPr>
        <w:t>显示出了一个以控制抗性疟蚊为主题新农药的创制思路。通过基因组学的研究，发现表达抗性靶标受体和代谢酶系的基因，对抗性基因结构进行分析，发现新分子靶标并研究其功能，创制新产品。</w:t>
      </w:r>
    </w:p>
    <w:p w:rsidR="001438B4" w:rsidRPr="00831F8B" w:rsidRDefault="001438B4" w:rsidP="001438B4">
      <w:pPr>
        <w:widowControl/>
        <w:shd w:val="clear" w:color="auto" w:fill="FFFFFF"/>
        <w:spacing w:before="100" w:beforeAutospacing="1" w:after="100" w:afterAutospacing="1" w:line="285" w:lineRule="atLeast"/>
        <w:jc w:val="left"/>
        <w:rPr>
          <w:rFonts w:ascii="宋体" w:hAnsi="宋体" w:cs="宋体"/>
          <w:b/>
          <w:color w:val="000000"/>
          <w:kern w:val="0"/>
          <w:sz w:val="20"/>
          <w:szCs w:val="20"/>
        </w:rPr>
      </w:pPr>
      <w:r w:rsidRPr="00831F8B">
        <w:rPr>
          <w:rFonts w:ascii="宋体" w:hAnsi="宋体" w:cs="宋体" w:hint="eastAsia"/>
          <w:b/>
          <w:color w:val="000000"/>
          <w:kern w:val="0"/>
          <w:sz w:val="20"/>
          <w:szCs w:val="20"/>
        </w:rPr>
        <w:t>参考文献：</w:t>
      </w:r>
    </w:p>
    <w:p w:rsidR="001438B4" w:rsidRPr="00831F8B" w:rsidRDefault="001438B4" w:rsidP="001438B4">
      <w:pPr>
        <w:widowControl/>
        <w:spacing w:after="200" w:line="300" w:lineRule="auto"/>
        <w:jc w:val="left"/>
        <w:rPr>
          <w:rFonts w:hAnsi="Calibri"/>
          <w:kern w:val="0"/>
          <w:sz w:val="24"/>
        </w:rPr>
      </w:pPr>
      <w:r w:rsidRPr="00831F8B">
        <w:rPr>
          <w:rFonts w:hAnsi="Calibri" w:hint="eastAsia"/>
          <w:kern w:val="0"/>
          <w:sz w:val="24"/>
        </w:rPr>
        <w:t>1.</w:t>
      </w:r>
    </w:p>
    <w:p w:rsidR="001438B4" w:rsidRPr="00831F8B" w:rsidRDefault="001438B4" w:rsidP="001438B4">
      <w:pPr>
        <w:widowControl/>
        <w:spacing w:after="200" w:line="360" w:lineRule="auto"/>
        <w:jc w:val="left"/>
        <w:rPr>
          <w:kern w:val="0"/>
          <w:sz w:val="24"/>
        </w:rPr>
      </w:pPr>
      <w:r>
        <w:rPr>
          <w:noProof/>
          <w:kern w:val="0"/>
          <w:sz w:val="24"/>
        </w:rPr>
        <w:drawing>
          <wp:inline distT="0" distB="0" distL="0" distR="0">
            <wp:extent cx="4086225" cy="2533650"/>
            <wp:effectExtent l="1905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srcRect/>
                    <a:stretch>
                      <a:fillRect/>
                    </a:stretch>
                  </pic:blipFill>
                  <pic:spPr bwMode="auto">
                    <a:xfrm>
                      <a:off x="0" y="0"/>
                      <a:ext cx="4086225" cy="2533650"/>
                    </a:xfrm>
                    <a:prstGeom prst="rect">
                      <a:avLst/>
                    </a:prstGeom>
                    <a:noFill/>
                    <a:ln w="9525">
                      <a:noFill/>
                      <a:miter lim="800000"/>
                      <a:headEnd/>
                      <a:tailEnd/>
                    </a:ln>
                  </pic:spPr>
                </pic:pic>
              </a:graphicData>
            </a:graphic>
          </wp:inline>
        </w:drawing>
      </w:r>
    </w:p>
    <w:p w:rsidR="001438B4" w:rsidRPr="00831F8B" w:rsidRDefault="001438B4" w:rsidP="001438B4">
      <w:pPr>
        <w:widowControl/>
        <w:spacing w:after="200" w:line="360" w:lineRule="auto"/>
        <w:jc w:val="left"/>
        <w:rPr>
          <w:kern w:val="0"/>
          <w:sz w:val="24"/>
        </w:rPr>
      </w:pPr>
      <w:r>
        <w:rPr>
          <w:noProof/>
          <w:kern w:val="0"/>
          <w:sz w:val="24"/>
        </w:rPr>
        <w:drawing>
          <wp:inline distT="0" distB="0" distL="0" distR="0">
            <wp:extent cx="4514850" cy="2828925"/>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4514850" cy="2828925"/>
                    </a:xfrm>
                    <a:prstGeom prst="rect">
                      <a:avLst/>
                    </a:prstGeom>
                    <a:noFill/>
                    <a:ln w="9525">
                      <a:noFill/>
                      <a:miter lim="800000"/>
                      <a:headEnd/>
                      <a:tailEnd/>
                    </a:ln>
                  </pic:spPr>
                </pic:pic>
              </a:graphicData>
            </a:graphic>
          </wp:inline>
        </w:drawing>
      </w:r>
    </w:p>
    <w:p w:rsidR="001438B4" w:rsidRDefault="001438B4" w:rsidP="001438B4">
      <w:pPr>
        <w:snapToGrid w:val="0"/>
        <w:spacing w:line="360" w:lineRule="auto"/>
        <w:rPr>
          <w:rFonts w:ascii="华文仿宋" w:eastAsia="华文仿宋" w:hAnsi="华文仿宋"/>
          <w:b/>
          <w:bCs/>
          <w:sz w:val="30"/>
          <w:szCs w:val="30"/>
        </w:rPr>
      </w:pPr>
    </w:p>
    <w:p w:rsidR="00901E4B" w:rsidRPr="001438B4" w:rsidRDefault="00901E4B"/>
    <w:sectPr w:rsidR="00901E4B" w:rsidRPr="001438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E4B" w:rsidRDefault="00901E4B" w:rsidP="001438B4">
      <w:r>
        <w:separator/>
      </w:r>
    </w:p>
  </w:endnote>
  <w:endnote w:type="continuationSeparator" w:id="1">
    <w:p w:rsidR="00901E4B" w:rsidRDefault="00901E4B" w:rsidP="00143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E4B" w:rsidRDefault="00901E4B" w:rsidP="001438B4">
      <w:r>
        <w:separator/>
      </w:r>
    </w:p>
  </w:footnote>
  <w:footnote w:type="continuationSeparator" w:id="1">
    <w:p w:rsidR="00901E4B" w:rsidRDefault="00901E4B" w:rsidP="00143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0684F"/>
    <w:multiLevelType w:val="hybridMultilevel"/>
    <w:tmpl w:val="2386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38B4"/>
    <w:rsid w:val="001438B4"/>
    <w:rsid w:val="00901E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8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38B4"/>
    <w:rPr>
      <w:sz w:val="18"/>
      <w:szCs w:val="18"/>
    </w:rPr>
  </w:style>
  <w:style w:type="paragraph" w:styleId="a4">
    <w:name w:val="footer"/>
    <w:basedOn w:val="a"/>
    <w:link w:val="Char0"/>
    <w:uiPriority w:val="99"/>
    <w:semiHidden/>
    <w:unhideWhenUsed/>
    <w:rsid w:val="001438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38B4"/>
    <w:rPr>
      <w:sz w:val="18"/>
      <w:szCs w:val="18"/>
    </w:rPr>
  </w:style>
  <w:style w:type="paragraph" w:styleId="a5">
    <w:name w:val="Balloon Text"/>
    <w:basedOn w:val="a"/>
    <w:link w:val="Char1"/>
    <w:uiPriority w:val="99"/>
    <w:semiHidden/>
    <w:unhideWhenUsed/>
    <w:rsid w:val="001438B4"/>
    <w:rPr>
      <w:sz w:val="18"/>
      <w:szCs w:val="18"/>
    </w:rPr>
  </w:style>
  <w:style w:type="character" w:customStyle="1" w:styleId="Char1">
    <w:name w:val="批注框文本 Char"/>
    <w:basedOn w:val="a0"/>
    <w:link w:val="a5"/>
    <w:uiPriority w:val="99"/>
    <w:semiHidden/>
    <w:rsid w:val="001438B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Company>微软中国</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2017-06-01T03:15:00Z</dcterms:created>
  <dcterms:modified xsi:type="dcterms:W3CDTF">2017-06-01T03:15:00Z</dcterms:modified>
</cp:coreProperties>
</file>