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FF9" w:rsidRDefault="00FB5FF9" w:rsidP="00FB5FF9">
      <w:pPr>
        <w:widowControl/>
        <w:autoSpaceDE w:val="0"/>
        <w:autoSpaceDN w:val="0"/>
        <w:adjustRightInd w:val="0"/>
        <w:spacing w:after="200" w:line="360" w:lineRule="auto"/>
        <w:jc w:val="left"/>
        <w:rPr>
          <w:rFonts w:ascii="华文仿宋" w:eastAsia="华文仿宋" w:hAnsi="华文仿宋"/>
          <w:b/>
          <w:bCs/>
          <w:sz w:val="30"/>
          <w:szCs w:val="30"/>
        </w:rPr>
      </w:pPr>
      <w:r w:rsidRPr="00C11C26">
        <w:rPr>
          <w:rFonts w:ascii="华文仿宋" w:eastAsia="华文仿宋" w:hAnsi="华文仿宋"/>
          <w:b/>
          <w:bCs/>
          <w:sz w:val="30"/>
          <w:szCs w:val="30"/>
        </w:rPr>
        <w:t>附件</w:t>
      </w:r>
      <w:r>
        <w:rPr>
          <w:rFonts w:ascii="华文仿宋" w:eastAsia="华文仿宋" w:hAnsi="华文仿宋" w:hint="eastAsia"/>
          <w:b/>
          <w:bCs/>
          <w:sz w:val="30"/>
          <w:szCs w:val="30"/>
        </w:rPr>
        <w:t>4</w:t>
      </w:r>
    </w:p>
    <w:p w:rsidR="00FB5FF9" w:rsidRPr="00831F8B" w:rsidRDefault="00FB5FF9" w:rsidP="00FB5FF9">
      <w:pPr>
        <w:widowControl/>
        <w:autoSpaceDE w:val="0"/>
        <w:autoSpaceDN w:val="0"/>
        <w:adjustRightInd w:val="0"/>
        <w:spacing w:after="200" w:line="360" w:lineRule="auto"/>
        <w:jc w:val="left"/>
        <w:rPr>
          <w:rFonts w:ascii="华文仿宋" w:eastAsia="华文仿宋" w:hAnsi="华文仿宋"/>
          <w:b/>
          <w:bCs/>
          <w:sz w:val="30"/>
          <w:szCs w:val="30"/>
        </w:rPr>
      </w:pPr>
      <w:r w:rsidRPr="00831F8B">
        <w:rPr>
          <w:rFonts w:ascii="方正小标宋简体" w:eastAsia="方正小标宋简体" w:hint="eastAsia"/>
          <w:sz w:val="36"/>
          <w:szCs w:val="36"/>
        </w:rPr>
        <w:t>“新实践与新进展”范文</w:t>
      </w:r>
      <w:r>
        <w:rPr>
          <w:rFonts w:ascii="方正小标宋简体" w:eastAsia="方正小标宋简体" w:hint="eastAsia"/>
          <w:sz w:val="36"/>
          <w:szCs w:val="36"/>
        </w:rPr>
        <w:t>(引自国家自然基金委网站)</w:t>
      </w:r>
    </w:p>
    <w:p w:rsidR="00FB5FF9" w:rsidRPr="00831F8B" w:rsidRDefault="00FB5FF9" w:rsidP="00FB5FF9">
      <w:pPr>
        <w:widowControl/>
        <w:shd w:val="clear" w:color="auto" w:fill="FFFFFF"/>
        <w:spacing w:before="100" w:beforeAutospacing="1" w:after="100" w:afterAutospacing="1"/>
        <w:jc w:val="center"/>
        <w:rPr>
          <w:rFonts w:ascii="宋体" w:hAnsi="宋体" w:cs="宋体"/>
          <w:b/>
          <w:bCs/>
          <w:color w:val="000000"/>
          <w:kern w:val="0"/>
          <w:sz w:val="28"/>
          <w:szCs w:val="28"/>
        </w:rPr>
      </w:pPr>
      <w:r w:rsidRPr="00831F8B">
        <w:rPr>
          <w:rFonts w:ascii="宋体" w:hAnsi="宋体" w:cs="宋体" w:hint="eastAsia"/>
          <w:b/>
          <w:bCs/>
          <w:color w:val="000000"/>
          <w:kern w:val="0"/>
          <w:sz w:val="28"/>
          <w:szCs w:val="28"/>
        </w:rPr>
        <w:t>棉花抗黄萎病免疫调控研究新进展</w:t>
      </w:r>
    </w:p>
    <w:p w:rsidR="00FB5FF9" w:rsidRPr="00831F8B" w:rsidRDefault="00FB5FF9" w:rsidP="00FB5FF9">
      <w:pPr>
        <w:widowControl/>
        <w:shd w:val="clear" w:color="auto" w:fill="FFFFFF"/>
        <w:spacing w:before="100" w:beforeAutospacing="1" w:after="100" w:afterAutospacing="1"/>
        <w:jc w:val="center"/>
        <w:rPr>
          <w:rFonts w:ascii="宋体" w:hAnsi="宋体" w:cs="宋体"/>
          <w:b/>
          <w:bCs/>
          <w:color w:val="000000"/>
          <w:kern w:val="0"/>
          <w:sz w:val="28"/>
          <w:szCs w:val="28"/>
        </w:rPr>
      </w:pPr>
      <w:r w:rsidRPr="00831F8B">
        <w:rPr>
          <w:rFonts w:ascii="宋体" w:hAnsi="宋体" w:cs="宋体" w:hint="eastAsia"/>
          <w:b/>
          <w:bCs/>
          <w:color w:val="000000"/>
          <w:kern w:val="0"/>
          <w:sz w:val="28"/>
          <w:szCs w:val="28"/>
        </w:rPr>
        <w:t xml:space="preserve">（Novel Insights into Cotton Resistance to </w:t>
      </w:r>
      <w:r w:rsidRPr="00831F8B">
        <w:rPr>
          <w:rFonts w:ascii="宋体" w:hAnsi="宋体" w:cs="宋体"/>
          <w:b/>
          <w:bCs/>
          <w:i/>
          <w:color w:val="000000"/>
          <w:kern w:val="0"/>
          <w:sz w:val="28"/>
          <w:szCs w:val="28"/>
        </w:rPr>
        <w:t>Verticillium dahliae</w:t>
      </w:r>
      <w:r w:rsidRPr="00831F8B">
        <w:rPr>
          <w:rFonts w:ascii="宋体" w:hAnsi="宋体" w:cs="宋体" w:hint="eastAsia"/>
          <w:b/>
          <w:bCs/>
          <w:color w:val="000000"/>
          <w:kern w:val="0"/>
          <w:sz w:val="28"/>
          <w:szCs w:val="28"/>
        </w:rPr>
        <w:t>）</w:t>
      </w:r>
    </w:p>
    <w:p w:rsidR="00FB5FF9" w:rsidRPr="00831F8B" w:rsidRDefault="00FB5FF9" w:rsidP="00FB5FF9">
      <w:pPr>
        <w:widowControl/>
        <w:shd w:val="clear" w:color="auto" w:fill="FFFFFF"/>
        <w:spacing w:before="100" w:beforeAutospacing="1" w:after="100" w:afterAutospacing="1"/>
        <w:jc w:val="center"/>
        <w:rPr>
          <w:rFonts w:ascii="宋体" w:hAnsi="宋体" w:cs="宋体"/>
          <w:color w:val="000000"/>
          <w:kern w:val="0"/>
          <w:sz w:val="20"/>
          <w:szCs w:val="20"/>
        </w:rPr>
      </w:pPr>
      <w:r w:rsidRPr="00831F8B">
        <w:rPr>
          <w:rFonts w:ascii="宋体" w:hAnsi="宋体" w:cs="宋体" w:hint="eastAsia"/>
          <w:color w:val="000000"/>
          <w:kern w:val="0"/>
          <w:sz w:val="20"/>
          <w:szCs w:val="20"/>
        </w:rPr>
        <w:t>朱龙付（Longfu Zhu）</w:t>
      </w:r>
    </w:p>
    <w:p w:rsidR="00FB5FF9" w:rsidRPr="00831F8B" w:rsidRDefault="00FB5FF9" w:rsidP="00FB5FF9">
      <w:pPr>
        <w:widowControl/>
        <w:shd w:val="clear" w:color="auto" w:fill="FFFFFF"/>
        <w:spacing w:before="100" w:beforeAutospacing="1" w:after="100" w:afterAutospacing="1"/>
        <w:jc w:val="center"/>
        <w:rPr>
          <w:rFonts w:ascii="宋体" w:hAnsi="宋体" w:cs="宋体"/>
          <w:color w:val="000000"/>
          <w:kern w:val="0"/>
          <w:sz w:val="20"/>
          <w:szCs w:val="20"/>
        </w:rPr>
      </w:pPr>
      <w:r w:rsidRPr="00831F8B">
        <w:rPr>
          <w:rFonts w:ascii="宋体" w:hAnsi="宋体" w:cs="宋体" w:hint="eastAsia"/>
          <w:color w:val="000000"/>
          <w:kern w:val="0"/>
          <w:sz w:val="20"/>
          <w:szCs w:val="20"/>
        </w:rPr>
        <w:t>华中农业大学，武汉，湖北，430070， Email：</w:t>
      </w:r>
      <w:r w:rsidRPr="00831F8B">
        <w:rPr>
          <w:rFonts w:ascii="宋体" w:hAnsi="宋体" w:cs="宋体" w:hint="eastAsia"/>
          <w:color w:val="000000"/>
          <w:kern w:val="0"/>
          <w:sz w:val="20"/>
          <w:szCs w:val="20"/>
          <w:highlight w:val="yellow"/>
        </w:rPr>
        <w:t>xxx</w:t>
      </w:r>
    </w:p>
    <w:p w:rsidR="00FB5FF9" w:rsidRPr="00831F8B" w:rsidRDefault="00FB5FF9" w:rsidP="00FB5FF9">
      <w:pPr>
        <w:widowControl/>
        <w:shd w:val="clear" w:color="auto" w:fill="FFFFFF"/>
        <w:spacing w:before="100" w:beforeAutospacing="1" w:after="100" w:afterAutospacing="1"/>
        <w:jc w:val="left"/>
        <w:rPr>
          <w:rFonts w:ascii="宋体" w:hAnsi="宋体" w:cs="宋体"/>
          <w:color w:val="000000"/>
          <w:kern w:val="0"/>
          <w:sz w:val="28"/>
          <w:szCs w:val="28"/>
        </w:rPr>
      </w:pPr>
      <w:r w:rsidRPr="00831F8B">
        <w:rPr>
          <w:rFonts w:hAnsi="宋体" w:cs="宋体" w:hint="eastAsia"/>
          <w:b/>
          <w:kern w:val="0"/>
          <w:sz w:val="20"/>
          <w:szCs w:val="20"/>
        </w:rPr>
        <w:t>关健词：棉花、黄萎病、抗病机制</w:t>
      </w:r>
    </w:p>
    <w:p w:rsidR="00FB5FF9" w:rsidRPr="00831F8B" w:rsidRDefault="00FB5FF9" w:rsidP="00FB5FF9">
      <w:pPr>
        <w:widowControl/>
        <w:shd w:val="clear" w:color="auto" w:fill="FFFFFF"/>
        <w:spacing w:before="100" w:beforeAutospacing="1" w:after="100" w:afterAutospacing="1"/>
        <w:jc w:val="left"/>
        <w:rPr>
          <w:rFonts w:ascii="宋体" w:hAnsi="宋体" w:cs="宋体"/>
          <w:color w:val="000000"/>
          <w:kern w:val="0"/>
          <w:sz w:val="24"/>
          <w:szCs w:val="20"/>
        </w:rPr>
      </w:pPr>
      <w:r w:rsidRPr="00831F8B">
        <w:rPr>
          <w:rFonts w:ascii="宋体" w:hAnsi="宋体" w:cs="宋体" w:hint="eastAsia"/>
          <w:color w:val="000000"/>
          <w:kern w:val="0"/>
          <w:sz w:val="20"/>
          <w:szCs w:val="20"/>
        </w:rPr>
        <w:t xml:space="preserve">　　</w:t>
      </w:r>
      <w:r w:rsidRPr="00831F8B">
        <w:rPr>
          <w:rFonts w:ascii="宋体" w:hAnsi="宋体" w:cs="宋体" w:hint="eastAsia"/>
          <w:color w:val="000000"/>
          <w:kern w:val="0"/>
          <w:sz w:val="24"/>
          <w:szCs w:val="20"/>
        </w:rPr>
        <w:t>棉花黄萎病是一种土传真菌维管束病害。由于生产上缺少高抗黄萎病的陆地棉品种，近三十年来该病在我国各棉区均有发生，并在部分年份和地域暴发成灾。黄萎病已成为当前影响我国棉花高产稳产的最主要病害，被称为棉花的“癌症”。</w:t>
      </w:r>
    </w:p>
    <w:p w:rsidR="00FB5FF9" w:rsidRPr="00831F8B" w:rsidRDefault="00FB5FF9" w:rsidP="00FB5FF9">
      <w:pPr>
        <w:widowControl/>
        <w:shd w:val="clear" w:color="auto" w:fill="FFFFFF"/>
        <w:spacing w:before="100" w:beforeAutospacing="1" w:after="100" w:afterAutospacing="1"/>
        <w:jc w:val="left"/>
        <w:rPr>
          <w:rFonts w:ascii="宋体" w:hAnsi="宋体" w:cs="宋体"/>
          <w:color w:val="000000"/>
          <w:kern w:val="0"/>
          <w:sz w:val="24"/>
          <w:szCs w:val="20"/>
        </w:rPr>
      </w:pPr>
      <w:r w:rsidRPr="00831F8B">
        <w:rPr>
          <w:rFonts w:ascii="宋体" w:hAnsi="宋体" w:cs="宋体" w:hint="eastAsia"/>
          <w:color w:val="000000"/>
          <w:kern w:val="0"/>
          <w:sz w:val="24"/>
          <w:szCs w:val="20"/>
        </w:rPr>
        <w:t xml:space="preserve">　　植物具有复杂的免疫调控网络，但在基础免疫反应上可能具有一定的保守性。利用生物信息学将拟南芥响应不同类型病原菌侵染后均有差异表达的基因作为植物基础免疫调控的候选基因。通过同源序列比对获得了这些基因在棉花中的同源基因并综合棉花接种黄萎病菌后的全基因组表达谱分析结果，筛选到88个可能参与棉花抗黄萎病基础免疫反应的基因。通过基因表达分析确定了这些基因在棉花抗黄萎病反应中的表达变化并分别利用病毒介导的基因沉默技术和异源超量表达对6个基因进行了初步功能鉴定。结果发现三个基因表达水平的变化影响了植物对黄萎病菌的抗性水平。其中GhFMO1基因（ES844424）表达增强促进了活性氧的增加，但转基因植株抗病性降低；而在棉花中瞬时抑制SSN基因（TC141300）的表达后提高了棉花对黄萎病的抗性水平</w:t>
      </w:r>
      <w:r w:rsidRPr="00831F8B">
        <w:rPr>
          <w:rFonts w:ascii="宋体" w:hAnsi="宋体" w:cs="宋体" w:hint="eastAsia"/>
          <w:color w:val="000000"/>
          <w:kern w:val="0"/>
          <w:sz w:val="24"/>
          <w:szCs w:val="20"/>
          <w:vertAlign w:val="superscript"/>
        </w:rPr>
        <w:t>1</w:t>
      </w:r>
      <w:r w:rsidRPr="00831F8B">
        <w:rPr>
          <w:rFonts w:ascii="宋体" w:hAnsi="宋体" w:cs="宋体" w:hint="eastAsia"/>
          <w:color w:val="000000"/>
          <w:kern w:val="0"/>
          <w:sz w:val="24"/>
          <w:szCs w:val="20"/>
        </w:rPr>
        <w:t>。</w:t>
      </w:r>
    </w:p>
    <w:p w:rsidR="00FB5FF9" w:rsidRPr="00831F8B" w:rsidRDefault="00FB5FF9" w:rsidP="00FB5FF9">
      <w:pPr>
        <w:widowControl/>
        <w:shd w:val="clear" w:color="auto" w:fill="FFFFFF"/>
        <w:spacing w:before="100" w:beforeAutospacing="1" w:after="100" w:afterAutospacing="1"/>
        <w:jc w:val="left"/>
        <w:rPr>
          <w:rFonts w:ascii="宋体" w:hAnsi="宋体" w:cs="宋体"/>
          <w:color w:val="000000"/>
          <w:kern w:val="0"/>
          <w:sz w:val="24"/>
          <w:szCs w:val="20"/>
        </w:rPr>
      </w:pPr>
      <w:r w:rsidRPr="00831F8B">
        <w:rPr>
          <w:rFonts w:ascii="宋体" w:hAnsi="宋体" w:cs="宋体" w:hint="eastAsia"/>
          <w:color w:val="000000"/>
          <w:kern w:val="0"/>
          <w:sz w:val="24"/>
          <w:szCs w:val="20"/>
        </w:rPr>
        <w:t xml:space="preserve">　　分析发现SSN基因（Silence-Induced Stem Necrosis，SSN）是植物P450基因超家族的新成员，目前未有其同族基因在植物中的功能报道。分别获得了SSN基因在棉花中的超量表达和抑制表达转基因株系，结果发现SSN基因表达被抑制后转基因棉花茎杆和叶片中活性氧水平明显上升，病程相关蛋白大量积累并产生类病斑。实验鉴定发现该基因沉默导致的茎杆类病斑出现与水杨酸合成无关。进一步研究发现SSN表达被抑制后转基因棉花根中茉莉酸的合成和信号路径组成型激活。通过表达谱比较研究发现SSN表达被抑制后转基因棉花根中大量参与脂代谢的基因表达水平异常，茉莉酸合成的增强缘于脂代谢异常导致十八碳脂肪酸积累。利用代谢组学测定证实SSN基因在棉花中超量表达和抑制表达后极显著影响了转基因植株根部的脂类代谢。脂类代谢异常使游离脂类成分或其衍生物作</w:t>
      </w:r>
      <w:r w:rsidRPr="00831F8B">
        <w:rPr>
          <w:rFonts w:ascii="宋体" w:hAnsi="宋体" w:cs="宋体" w:hint="eastAsia"/>
          <w:color w:val="000000"/>
          <w:kern w:val="0"/>
          <w:sz w:val="24"/>
          <w:szCs w:val="20"/>
        </w:rPr>
        <w:lastRenderedPageBreak/>
        <w:t>为系统信号激活了棉花地上部分的组成型免疫反应并产生细胞坏死。SSN在棉花基础免疫反应调控中有如一个阀门，通过调控脂类代谢影响着棉花应对病原菌侵染后的抗性水平</w:t>
      </w:r>
      <w:r w:rsidRPr="00831F8B">
        <w:rPr>
          <w:rFonts w:ascii="宋体" w:hAnsi="宋体" w:cs="宋体" w:hint="eastAsia"/>
          <w:color w:val="000000"/>
          <w:kern w:val="0"/>
          <w:sz w:val="24"/>
          <w:szCs w:val="20"/>
          <w:vertAlign w:val="superscript"/>
        </w:rPr>
        <w:t>2</w:t>
      </w:r>
      <w:r w:rsidRPr="00831F8B">
        <w:rPr>
          <w:rFonts w:ascii="宋体" w:hAnsi="宋体" w:cs="宋体" w:hint="eastAsia"/>
          <w:color w:val="000000"/>
          <w:kern w:val="0"/>
          <w:sz w:val="24"/>
          <w:szCs w:val="20"/>
        </w:rPr>
        <w:t>。</w:t>
      </w:r>
    </w:p>
    <w:p w:rsidR="00FB5FF9" w:rsidRPr="00831F8B" w:rsidRDefault="00FB5FF9" w:rsidP="00FB5FF9">
      <w:pPr>
        <w:widowControl/>
        <w:shd w:val="clear" w:color="auto" w:fill="FFFFFF"/>
        <w:spacing w:before="100" w:beforeAutospacing="1" w:after="100" w:afterAutospacing="1"/>
        <w:jc w:val="left"/>
        <w:rPr>
          <w:rFonts w:ascii="宋体" w:hAnsi="宋体" w:cs="宋体"/>
          <w:color w:val="000000"/>
          <w:kern w:val="0"/>
          <w:sz w:val="24"/>
          <w:szCs w:val="20"/>
        </w:rPr>
      </w:pPr>
      <w:r w:rsidRPr="00831F8B">
        <w:rPr>
          <w:rFonts w:ascii="宋体" w:hAnsi="宋体" w:cs="宋体" w:hint="eastAsia"/>
          <w:color w:val="000000"/>
          <w:kern w:val="0"/>
          <w:sz w:val="24"/>
          <w:szCs w:val="20"/>
        </w:rPr>
        <w:t xml:space="preserve">　　上述研究成果为高效鉴定棉花抗黄萎病免疫调控关键基因提供了新思路、为棉花抗黄萎病分子机制研究提供了新策略，同时，也为陆地棉抗病种质创新提供了基因资源。</w:t>
      </w:r>
    </w:p>
    <w:p w:rsidR="00FB5FF9" w:rsidRPr="00831F8B" w:rsidRDefault="00FB5FF9" w:rsidP="00FB5FF9">
      <w:pPr>
        <w:widowControl/>
        <w:shd w:val="clear" w:color="auto" w:fill="FFFFFF"/>
        <w:spacing w:before="100" w:beforeAutospacing="1" w:after="100" w:afterAutospacing="1" w:line="285" w:lineRule="atLeast"/>
        <w:jc w:val="center"/>
        <w:rPr>
          <w:rFonts w:ascii="宋体" w:hAnsi="宋体" w:cs="宋体"/>
          <w:color w:val="000000"/>
          <w:kern w:val="0"/>
          <w:sz w:val="20"/>
          <w:szCs w:val="20"/>
        </w:rPr>
      </w:pPr>
      <w:r>
        <w:rPr>
          <w:rFonts w:ascii="宋体" w:hAnsi="宋体" w:cs="宋体"/>
          <w:noProof/>
          <w:color w:val="000000"/>
          <w:kern w:val="0"/>
          <w:sz w:val="20"/>
          <w:szCs w:val="20"/>
        </w:rPr>
        <w:drawing>
          <wp:inline distT="0" distB="0" distL="0" distR="0">
            <wp:extent cx="5715000" cy="2524125"/>
            <wp:effectExtent l="19050" t="0" r="0" b="0"/>
            <wp:docPr id="7" name="图片 1" descr="http://www.nsfc.gov.cn/nsfc/cen/00/kxb/sm/images/tpxw2014-12-1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ttp://www.nsfc.gov.cn/nsfc/cen/00/kxb/sm/images/tpxw2014-12-12-15.jpg"/>
                    <pic:cNvPicPr>
                      <a:picLocks noChangeAspect="1" noChangeArrowheads="1"/>
                    </pic:cNvPicPr>
                  </pic:nvPicPr>
                  <pic:blipFill>
                    <a:blip r:embed="rId7"/>
                    <a:srcRect/>
                    <a:stretch>
                      <a:fillRect/>
                    </a:stretch>
                  </pic:blipFill>
                  <pic:spPr bwMode="auto">
                    <a:xfrm>
                      <a:off x="0" y="0"/>
                      <a:ext cx="5715000" cy="2524125"/>
                    </a:xfrm>
                    <a:prstGeom prst="rect">
                      <a:avLst/>
                    </a:prstGeom>
                    <a:noFill/>
                    <a:ln w="9525">
                      <a:noFill/>
                      <a:miter lim="800000"/>
                      <a:headEnd/>
                      <a:tailEnd/>
                    </a:ln>
                  </pic:spPr>
                </pic:pic>
              </a:graphicData>
            </a:graphic>
          </wp:inline>
        </w:drawing>
      </w:r>
    </w:p>
    <w:p w:rsidR="00FB5FF9" w:rsidRPr="00831F8B" w:rsidRDefault="00FB5FF9" w:rsidP="00FB5FF9">
      <w:pPr>
        <w:widowControl/>
        <w:shd w:val="clear" w:color="auto" w:fill="FFFFFF"/>
        <w:spacing w:before="100" w:beforeAutospacing="1" w:after="100" w:afterAutospacing="1" w:line="285" w:lineRule="atLeast"/>
        <w:jc w:val="left"/>
        <w:rPr>
          <w:rFonts w:ascii="宋体" w:hAnsi="宋体" w:cs="宋体"/>
          <w:color w:val="000000"/>
          <w:kern w:val="0"/>
          <w:sz w:val="20"/>
          <w:szCs w:val="20"/>
        </w:rPr>
      </w:pPr>
      <w:r w:rsidRPr="00831F8B">
        <w:rPr>
          <w:rFonts w:ascii="宋体" w:hAnsi="宋体" w:cs="宋体" w:hint="eastAsia"/>
          <w:color w:val="000000"/>
          <w:kern w:val="0"/>
          <w:sz w:val="20"/>
          <w:szCs w:val="20"/>
        </w:rPr>
        <w:t>A．棉花中SSN基因表达被抑制后会出现坏死；B. 棉花中SSN基因表达被抑制后激活了茉莉酸合成路径，增加了茉莉酸含量；C. SSN定位于内质网，可能参与脂肪酸代谢; D. SSN在表达增强后促进了棉花中多种氧脂类物质的合成。</w:t>
      </w:r>
    </w:p>
    <w:p w:rsidR="00FB5FF9" w:rsidRPr="00831F8B" w:rsidRDefault="00FB5FF9" w:rsidP="00FB5FF9">
      <w:pPr>
        <w:widowControl/>
        <w:shd w:val="clear" w:color="auto" w:fill="FFFFFF"/>
        <w:spacing w:before="100" w:beforeAutospacing="1" w:after="100" w:afterAutospacing="1" w:line="285" w:lineRule="atLeast"/>
        <w:jc w:val="left"/>
        <w:rPr>
          <w:rFonts w:ascii="宋体" w:hAnsi="宋体" w:cs="宋体"/>
          <w:color w:val="000000"/>
          <w:kern w:val="0"/>
          <w:sz w:val="20"/>
          <w:szCs w:val="20"/>
        </w:rPr>
      </w:pPr>
      <w:r w:rsidRPr="00831F8B">
        <w:rPr>
          <w:rFonts w:ascii="宋体" w:hAnsi="宋体" w:cs="宋体" w:hint="eastAsia"/>
          <w:color w:val="000000"/>
          <w:kern w:val="0"/>
          <w:sz w:val="20"/>
          <w:szCs w:val="20"/>
        </w:rPr>
        <w:t>参考文献：</w:t>
      </w:r>
    </w:p>
    <w:p w:rsidR="00FB5FF9" w:rsidRPr="00831F8B" w:rsidRDefault="00FB5FF9" w:rsidP="00FB5FF9">
      <w:pPr>
        <w:widowControl/>
        <w:numPr>
          <w:ilvl w:val="0"/>
          <w:numId w:val="1"/>
        </w:numPr>
        <w:shd w:val="clear" w:color="auto" w:fill="FFFFFF"/>
        <w:spacing w:before="100" w:beforeAutospacing="1" w:after="100" w:afterAutospacing="1" w:line="285" w:lineRule="atLeast"/>
        <w:jc w:val="left"/>
        <w:rPr>
          <w:rFonts w:ascii="宋体" w:hAnsi="宋体" w:cs="宋体"/>
          <w:color w:val="000000"/>
          <w:kern w:val="0"/>
          <w:sz w:val="20"/>
          <w:szCs w:val="20"/>
        </w:rPr>
      </w:pPr>
      <w:r w:rsidRPr="00831F8B">
        <w:rPr>
          <w:rFonts w:ascii="宋体" w:hAnsi="宋体" w:cs="宋体"/>
          <w:color w:val="000000"/>
          <w:kern w:val="0"/>
          <w:sz w:val="20"/>
          <w:szCs w:val="20"/>
        </w:rPr>
        <w:t>Sun</w:t>
      </w:r>
      <w:r w:rsidRPr="00831F8B">
        <w:rPr>
          <w:rFonts w:ascii="宋体" w:hAnsi="宋体" w:cs="宋体" w:hint="eastAsia"/>
          <w:color w:val="000000"/>
          <w:kern w:val="0"/>
          <w:sz w:val="20"/>
          <w:szCs w:val="20"/>
        </w:rPr>
        <w:t xml:space="preserve"> LQ, </w:t>
      </w:r>
      <w:r w:rsidRPr="00831F8B">
        <w:rPr>
          <w:rFonts w:ascii="宋体" w:hAnsi="宋体" w:cs="宋体"/>
          <w:color w:val="000000"/>
          <w:kern w:val="0"/>
          <w:sz w:val="20"/>
          <w:szCs w:val="20"/>
        </w:rPr>
        <w:t>Zhu</w:t>
      </w:r>
      <w:r w:rsidRPr="00831F8B">
        <w:rPr>
          <w:rFonts w:ascii="宋体" w:hAnsi="宋体" w:cs="宋体" w:hint="eastAsia"/>
          <w:color w:val="000000"/>
          <w:kern w:val="0"/>
          <w:sz w:val="20"/>
          <w:szCs w:val="20"/>
        </w:rPr>
        <w:t xml:space="preserve"> LF, </w:t>
      </w:r>
      <w:r w:rsidRPr="00831F8B">
        <w:rPr>
          <w:rFonts w:ascii="宋体" w:hAnsi="宋体" w:cs="宋体"/>
          <w:color w:val="000000"/>
          <w:kern w:val="0"/>
          <w:sz w:val="20"/>
          <w:szCs w:val="20"/>
        </w:rPr>
        <w:t>Xu</w:t>
      </w:r>
      <w:r w:rsidRPr="00831F8B">
        <w:rPr>
          <w:rFonts w:ascii="宋体" w:hAnsi="宋体" w:cs="宋体" w:hint="eastAsia"/>
          <w:color w:val="000000"/>
          <w:kern w:val="0"/>
          <w:sz w:val="20"/>
          <w:szCs w:val="20"/>
        </w:rPr>
        <w:t xml:space="preserve"> L, </w:t>
      </w:r>
      <w:r w:rsidRPr="00831F8B">
        <w:rPr>
          <w:rFonts w:ascii="宋体" w:hAnsi="宋体" w:cs="宋体"/>
          <w:color w:val="000000"/>
          <w:kern w:val="0"/>
          <w:sz w:val="20"/>
          <w:szCs w:val="20"/>
        </w:rPr>
        <w:t>Yuan</w:t>
      </w:r>
      <w:r w:rsidRPr="00831F8B">
        <w:rPr>
          <w:rFonts w:ascii="宋体" w:hAnsi="宋体" w:cs="宋体" w:hint="eastAsia"/>
          <w:color w:val="000000"/>
          <w:kern w:val="0"/>
          <w:sz w:val="20"/>
          <w:szCs w:val="20"/>
        </w:rPr>
        <w:t xml:space="preserve"> DJ, M</w:t>
      </w:r>
      <w:r w:rsidRPr="00831F8B">
        <w:rPr>
          <w:rFonts w:ascii="宋体" w:hAnsi="宋体" w:cs="宋体"/>
          <w:color w:val="000000"/>
          <w:kern w:val="0"/>
          <w:sz w:val="20"/>
          <w:szCs w:val="20"/>
        </w:rPr>
        <w:t>in</w:t>
      </w:r>
      <w:r w:rsidRPr="00831F8B">
        <w:rPr>
          <w:rFonts w:ascii="宋体" w:hAnsi="宋体" w:cs="宋体" w:hint="eastAsia"/>
          <w:color w:val="000000"/>
          <w:kern w:val="0"/>
          <w:sz w:val="20"/>
          <w:szCs w:val="20"/>
        </w:rPr>
        <w:t xml:space="preserve"> L,</w:t>
      </w:r>
      <w:r w:rsidRPr="00831F8B">
        <w:rPr>
          <w:rFonts w:ascii="宋体" w:hAnsi="宋体" w:cs="宋体"/>
          <w:color w:val="000000"/>
          <w:kern w:val="0"/>
          <w:sz w:val="20"/>
          <w:szCs w:val="20"/>
        </w:rPr>
        <w:t xml:space="preserve"> Zhang</w:t>
      </w:r>
      <w:r w:rsidRPr="00831F8B">
        <w:rPr>
          <w:rFonts w:ascii="宋体" w:hAnsi="宋体" w:cs="宋体" w:hint="eastAsia"/>
          <w:color w:val="000000"/>
          <w:kern w:val="0"/>
          <w:sz w:val="20"/>
          <w:szCs w:val="20"/>
        </w:rPr>
        <w:t xml:space="preserve"> XL (2014) </w:t>
      </w:r>
      <w:r w:rsidRPr="00831F8B">
        <w:rPr>
          <w:rFonts w:ascii="宋体" w:hAnsi="宋体" w:cs="宋体"/>
          <w:color w:val="000000"/>
          <w:kern w:val="0"/>
          <w:sz w:val="20"/>
          <w:szCs w:val="20"/>
        </w:rPr>
        <w:t>Cotton cytochrome P450 CYP82D regulates</w:t>
      </w:r>
      <w:r w:rsidRPr="00831F8B">
        <w:rPr>
          <w:rFonts w:ascii="宋体" w:hAnsi="宋体" w:cs="宋体" w:hint="eastAsia"/>
          <w:color w:val="000000"/>
          <w:kern w:val="0"/>
          <w:sz w:val="20"/>
          <w:szCs w:val="20"/>
        </w:rPr>
        <w:t xml:space="preserve"> </w:t>
      </w:r>
      <w:r w:rsidRPr="00831F8B">
        <w:rPr>
          <w:rFonts w:ascii="宋体" w:hAnsi="宋体" w:cs="宋体"/>
          <w:color w:val="000000"/>
          <w:kern w:val="0"/>
          <w:sz w:val="20"/>
          <w:szCs w:val="20"/>
        </w:rPr>
        <w:t>systemic cell death by modulating the</w:t>
      </w:r>
      <w:r w:rsidRPr="00831F8B">
        <w:rPr>
          <w:rFonts w:ascii="宋体" w:hAnsi="宋体" w:cs="宋体" w:hint="eastAsia"/>
          <w:color w:val="000000"/>
          <w:kern w:val="0"/>
          <w:sz w:val="20"/>
          <w:szCs w:val="20"/>
        </w:rPr>
        <w:t xml:space="preserve"> </w:t>
      </w:r>
      <w:r w:rsidRPr="00831F8B">
        <w:rPr>
          <w:rFonts w:ascii="宋体" w:hAnsi="宋体" w:cs="宋体"/>
          <w:color w:val="000000"/>
          <w:kern w:val="0"/>
          <w:sz w:val="20"/>
          <w:szCs w:val="20"/>
        </w:rPr>
        <w:t>octadecanoid pathway</w:t>
      </w:r>
      <w:r w:rsidRPr="00831F8B">
        <w:rPr>
          <w:rFonts w:ascii="宋体" w:hAnsi="宋体" w:cs="宋体" w:hint="eastAsia"/>
          <w:color w:val="000000"/>
          <w:kern w:val="0"/>
          <w:sz w:val="20"/>
          <w:szCs w:val="20"/>
        </w:rPr>
        <w:t>. Nat Commun 5:5372</w:t>
      </w:r>
    </w:p>
    <w:p w:rsidR="00FB5FF9" w:rsidRPr="00831F8B" w:rsidRDefault="00FB5FF9" w:rsidP="00FB5FF9">
      <w:pPr>
        <w:widowControl/>
        <w:numPr>
          <w:ilvl w:val="0"/>
          <w:numId w:val="1"/>
        </w:numPr>
        <w:shd w:val="clear" w:color="auto" w:fill="FFFFFF"/>
        <w:spacing w:before="100" w:beforeAutospacing="1" w:after="100" w:afterAutospacing="1" w:line="285" w:lineRule="atLeast"/>
        <w:jc w:val="left"/>
        <w:rPr>
          <w:rFonts w:ascii="宋体" w:hAnsi="宋体" w:cs="宋体"/>
          <w:color w:val="000000"/>
          <w:kern w:val="0"/>
          <w:sz w:val="20"/>
          <w:szCs w:val="20"/>
        </w:rPr>
      </w:pPr>
      <w:r w:rsidRPr="00831F8B">
        <w:rPr>
          <w:rFonts w:ascii="宋体" w:hAnsi="宋体" w:cs="宋体"/>
          <w:color w:val="000000"/>
          <w:kern w:val="0"/>
          <w:sz w:val="20"/>
          <w:szCs w:val="20"/>
        </w:rPr>
        <w:t>Xu</w:t>
      </w:r>
      <w:r w:rsidRPr="00831F8B">
        <w:rPr>
          <w:rFonts w:ascii="宋体" w:hAnsi="宋体" w:cs="宋体" w:hint="eastAsia"/>
          <w:color w:val="000000"/>
          <w:kern w:val="0"/>
          <w:sz w:val="20"/>
          <w:szCs w:val="20"/>
        </w:rPr>
        <w:t xml:space="preserve"> L</w:t>
      </w:r>
      <w:r w:rsidRPr="00831F8B">
        <w:rPr>
          <w:rFonts w:ascii="宋体" w:hAnsi="宋体" w:cs="宋体"/>
          <w:color w:val="000000"/>
          <w:kern w:val="0"/>
          <w:sz w:val="20"/>
          <w:szCs w:val="20"/>
        </w:rPr>
        <w:t>, Zhang</w:t>
      </w:r>
      <w:r w:rsidRPr="00831F8B">
        <w:rPr>
          <w:rFonts w:ascii="宋体" w:hAnsi="宋体" w:cs="宋体" w:hint="eastAsia"/>
          <w:color w:val="000000"/>
          <w:kern w:val="0"/>
          <w:sz w:val="20"/>
          <w:szCs w:val="20"/>
        </w:rPr>
        <w:t xml:space="preserve"> WW</w:t>
      </w:r>
      <w:r w:rsidRPr="00831F8B">
        <w:rPr>
          <w:rFonts w:ascii="宋体" w:hAnsi="宋体" w:cs="宋体"/>
          <w:color w:val="000000"/>
          <w:kern w:val="0"/>
          <w:sz w:val="20"/>
          <w:szCs w:val="20"/>
        </w:rPr>
        <w:t>, He</w:t>
      </w:r>
      <w:r w:rsidRPr="00831F8B">
        <w:rPr>
          <w:rFonts w:ascii="宋体" w:hAnsi="宋体" w:cs="宋体" w:hint="eastAsia"/>
          <w:color w:val="000000"/>
          <w:kern w:val="0"/>
          <w:sz w:val="20"/>
          <w:szCs w:val="20"/>
        </w:rPr>
        <w:t xml:space="preserve"> X</w:t>
      </w:r>
      <w:r w:rsidRPr="00831F8B">
        <w:rPr>
          <w:rFonts w:ascii="宋体" w:hAnsi="宋体" w:cs="宋体"/>
          <w:color w:val="000000"/>
          <w:kern w:val="0"/>
          <w:sz w:val="20"/>
          <w:szCs w:val="20"/>
        </w:rPr>
        <w:t>, Liu</w:t>
      </w:r>
      <w:r w:rsidRPr="00831F8B">
        <w:rPr>
          <w:rFonts w:ascii="宋体" w:hAnsi="宋体" w:cs="宋体" w:hint="eastAsia"/>
          <w:color w:val="000000"/>
          <w:kern w:val="0"/>
          <w:sz w:val="20"/>
          <w:szCs w:val="20"/>
        </w:rPr>
        <w:t xml:space="preserve"> M</w:t>
      </w:r>
      <w:r w:rsidRPr="00831F8B">
        <w:rPr>
          <w:rFonts w:ascii="宋体" w:hAnsi="宋体" w:cs="宋体"/>
          <w:color w:val="000000"/>
          <w:kern w:val="0"/>
          <w:sz w:val="20"/>
          <w:szCs w:val="20"/>
        </w:rPr>
        <w:t>, Zhang</w:t>
      </w:r>
      <w:r w:rsidRPr="00831F8B">
        <w:rPr>
          <w:rFonts w:ascii="宋体" w:hAnsi="宋体" w:cs="宋体" w:hint="eastAsia"/>
          <w:color w:val="000000"/>
          <w:kern w:val="0"/>
          <w:sz w:val="20"/>
          <w:szCs w:val="20"/>
        </w:rPr>
        <w:t xml:space="preserve"> K</w:t>
      </w:r>
      <w:r w:rsidRPr="00831F8B">
        <w:rPr>
          <w:rFonts w:ascii="宋体" w:hAnsi="宋体" w:cs="宋体"/>
          <w:color w:val="000000"/>
          <w:kern w:val="0"/>
          <w:sz w:val="20"/>
          <w:szCs w:val="20"/>
        </w:rPr>
        <w:t>, Shaban</w:t>
      </w:r>
      <w:r w:rsidRPr="00831F8B">
        <w:rPr>
          <w:rFonts w:ascii="宋体" w:hAnsi="宋体" w:cs="宋体" w:hint="eastAsia"/>
          <w:color w:val="000000"/>
          <w:kern w:val="0"/>
          <w:sz w:val="20"/>
          <w:szCs w:val="20"/>
        </w:rPr>
        <w:t xml:space="preserve"> M</w:t>
      </w:r>
      <w:r w:rsidRPr="00831F8B">
        <w:rPr>
          <w:rFonts w:ascii="宋体" w:hAnsi="宋体" w:cs="宋体"/>
          <w:color w:val="000000"/>
          <w:kern w:val="0"/>
          <w:sz w:val="20"/>
          <w:szCs w:val="20"/>
        </w:rPr>
        <w:t>, Sun</w:t>
      </w:r>
      <w:r w:rsidRPr="00831F8B">
        <w:rPr>
          <w:rFonts w:ascii="宋体" w:hAnsi="宋体" w:cs="宋体" w:hint="eastAsia"/>
          <w:color w:val="000000"/>
          <w:kern w:val="0"/>
          <w:sz w:val="20"/>
          <w:szCs w:val="20"/>
        </w:rPr>
        <w:t xml:space="preserve"> LQ</w:t>
      </w:r>
      <w:r w:rsidRPr="00831F8B">
        <w:rPr>
          <w:rFonts w:ascii="宋体" w:hAnsi="宋体" w:cs="宋体"/>
          <w:color w:val="000000"/>
          <w:kern w:val="0"/>
          <w:sz w:val="20"/>
          <w:szCs w:val="20"/>
        </w:rPr>
        <w:t>, Zhu</w:t>
      </w:r>
      <w:r w:rsidRPr="00831F8B">
        <w:rPr>
          <w:rFonts w:ascii="宋体" w:hAnsi="宋体" w:cs="宋体" w:hint="eastAsia"/>
          <w:color w:val="000000"/>
          <w:kern w:val="0"/>
          <w:sz w:val="20"/>
          <w:szCs w:val="20"/>
        </w:rPr>
        <w:t xml:space="preserve"> JC</w:t>
      </w:r>
      <w:r w:rsidRPr="00831F8B">
        <w:rPr>
          <w:rFonts w:ascii="宋体" w:hAnsi="宋体" w:cs="宋体"/>
          <w:color w:val="000000"/>
          <w:kern w:val="0"/>
          <w:sz w:val="20"/>
          <w:szCs w:val="20"/>
        </w:rPr>
        <w:t>,</w:t>
      </w:r>
      <w:r w:rsidRPr="00831F8B">
        <w:rPr>
          <w:rFonts w:ascii="宋体" w:hAnsi="宋体" w:cs="宋体" w:hint="eastAsia"/>
          <w:color w:val="000000"/>
          <w:kern w:val="0"/>
          <w:sz w:val="20"/>
          <w:szCs w:val="20"/>
        </w:rPr>
        <w:t xml:space="preserve"> </w:t>
      </w:r>
      <w:r w:rsidRPr="00831F8B">
        <w:rPr>
          <w:rFonts w:ascii="宋体" w:hAnsi="宋体" w:cs="宋体"/>
          <w:color w:val="000000"/>
          <w:kern w:val="0"/>
          <w:sz w:val="20"/>
          <w:szCs w:val="20"/>
        </w:rPr>
        <w:t>Luo</w:t>
      </w:r>
      <w:r w:rsidRPr="00831F8B">
        <w:rPr>
          <w:rFonts w:ascii="宋体" w:hAnsi="宋体" w:cs="宋体" w:hint="eastAsia"/>
          <w:color w:val="000000"/>
          <w:kern w:val="0"/>
          <w:sz w:val="20"/>
          <w:szCs w:val="20"/>
        </w:rPr>
        <w:t xml:space="preserve"> YJ</w:t>
      </w:r>
      <w:r w:rsidRPr="00831F8B">
        <w:rPr>
          <w:rFonts w:ascii="宋体" w:hAnsi="宋体" w:cs="宋体"/>
          <w:color w:val="000000"/>
          <w:kern w:val="0"/>
          <w:sz w:val="20"/>
          <w:szCs w:val="20"/>
        </w:rPr>
        <w:t>, Yuan</w:t>
      </w:r>
      <w:r w:rsidRPr="00831F8B">
        <w:rPr>
          <w:rFonts w:ascii="宋体" w:hAnsi="宋体" w:cs="宋体" w:hint="eastAsia"/>
          <w:color w:val="000000"/>
          <w:kern w:val="0"/>
          <w:sz w:val="20"/>
          <w:szCs w:val="20"/>
        </w:rPr>
        <w:t xml:space="preserve"> DJ</w:t>
      </w:r>
      <w:r w:rsidRPr="00831F8B">
        <w:rPr>
          <w:rFonts w:ascii="宋体" w:hAnsi="宋体" w:cs="宋体"/>
          <w:color w:val="000000"/>
          <w:kern w:val="0"/>
          <w:sz w:val="20"/>
          <w:szCs w:val="20"/>
        </w:rPr>
        <w:t xml:space="preserve">, </w:t>
      </w:r>
      <w:r w:rsidRPr="00831F8B">
        <w:rPr>
          <w:rFonts w:ascii="宋体" w:hAnsi="宋体" w:cs="宋体" w:hint="eastAsia"/>
          <w:i/>
          <w:color w:val="000000"/>
          <w:kern w:val="0"/>
          <w:sz w:val="20"/>
          <w:szCs w:val="20"/>
        </w:rPr>
        <w:t>et al</w:t>
      </w:r>
      <w:r w:rsidRPr="00831F8B">
        <w:rPr>
          <w:rFonts w:ascii="宋体" w:hAnsi="宋体" w:cs="宋体" w:hint="eastAsia"/>
          <w:color w:val="000000"/>
          <w:kern w:val="0"/>
          <w:sz w:val="20"/>
          <w:szCs w:val="20"/>
        </w:rPr>
        <w:t xml:space="preserve">. (2014) </w:t>
      </w:r>
      <w:r w:rsidRPr="00831F8B">
        <w:rPr>
          <w:rFonts w:ascii="宋体" w:hAnsi="宋体" w:cs="宋体"/>
          <w:color w:val="000000"/>
          <w:kern w:val="0"/>
          <w:sz w:val="20"/>
          <w:szCs w:val="20"/>
        </w:rPr>
        <w:t xml:space="preserve">Functional characterization of cotton genes responsive to </w:t>
      </w:r>
      <w:r w:rsidRPr="00831F8B">
        <w:rPr>
          <w:rFonts w:ascii="宋体" w:hAnsi="宋体" w:cs="宋体"/>
          <w:i/>
          <w:color w:val="000000"/>
          <w:kern w:val="0"/>
          <w:sz w:val="20"/>
          <w:szCs w:val="20"/>
        </w:rPr>
        <w:t>Verticillium dahliae</w:t>
      </w:r>
      <w:r w:rsidRPr="00831F8B">
        <w:rPr>
          <w:rFonts w:ascii="宋体" w:hAnsi="宋体" w:cs="宋体"/>
          <w:color w:val="000000"/>
          <w:kern w:val="0"/>
          <w:sz w:val="20"/>
          <w:szCs w:val="20"/>
        </w:rPr>
        <w:t xml:space="preserve"> through bioinformatics and reverse genetics strategies</w:t>
      </w:r>
      <w:r w:rsidRPr="00831F8B">
        <w:rPr>
          <w:rFonts w:ascii="宋体" w:hAnsi="宋体" w:cs="宋体" w:hint="eastAsia"/>
          <w:color w:val="000000"/>
          <w:kern w:val="0"/>
          <w:sz w:val="20"/>
          <w:szCs w:val="20"/>
        </w:rPr>
        <w:t>.J Exp Bot 65:6679-6692</w:t>
      </w:r>
    </w:p>
    <w:p w:rsidR="0034100D" w:rsidRPr="00FB5FF9" w:rsidRDefault="0034100D"/>
    <w:sectPr w:rsidR="0034100D" w:rsidRPr="00FB5F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00D" w:rsidRDefault="0034100D" w:rsidP="00FB5FF9">
      <w:r>
        <w:separator/>
      </w:r>
    </w:p>
  </w:endnote>
  <w:endnote w:type="continuationSeparator" w:id="1">
    <w:p w:rsidR="0034100D" w:rsidRDefault="0034100D" w:rsidP="00FB5F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00D" w:rsidRDefault="0034100D" w:rsidP="00FB5FF9">
      <w:r>
        <w:separator/>
      </w:r>
    </w:p>
  </w:footnote>
  <w:footnote w:type="continuationSeparator" w:id="1">
    <w:p w:rsidR="0034100D" w:rsidRDefault="0034100D" w:rsidP="00FB5F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A0684F"/>
    <w:multiLevelType w:val="hybridMultilevel"/>
    <w:tmpl w:val="23863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5FF9"/>
    <w:rsid w:val="0034100D"/>
    <w:rsid w:val="00FB5F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FF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B5F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B5FF9"/>
    <w:rPr>
      <w:sz w:val="18"/>
      <w:szCs w:val="18"/>
    </w:rPr>
  </w:style>
  <w:style w:type="paragraph" w:styleId="a4">
    <w:name w:val="footer"/>
    <w:basedOn w:val="a"/>
    <w:link w:val="Char0"/>
    <w:uiPriority w:val="99"/>
    <w:semiHidden/>
    <w:unhideWhenUsed/>
    <w:rsid w:val="00FB5FF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B5FF9"/>
    <w:rPr>
      <w:sz w:val="18"/>
      <w:szCs w:val="18"/>
    </w:rPr>
  </w:style>
  <w:style w:type="paragraph" w:styleId="a5">
    <w:name w:val="Balloon Text"/>
    <w:basedOn w:val="a"/>
    <w:link w:val="Char1"/>
    <w:uiPriority w:val="99"/>
    <w:semiHidden/>
    <w:unhideWhenUsed/>
    <w:rsid w:val="00FB5FF9"/>
    <w:rPr>
      <w:sz w:val="18"/>
      <w:szCs w:val="18"/>
    </w:rPr>
  </w:style>
  <w:style w:type="character" w:customStyle="1" w:styleId="Char1">
    <w:name w:val="批注框文本 Char"/>
    <w:basedOn w:val="a0"/>
    <w:link w:val="a5"/>
    <w:uiPriority w:val="99"/>
    <w:semiHidden/>
    <w:rsid w:val="00FB5FF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1451</Characters>
  <Application>Microsoft Office Word</Application>
  <DocSecurity>0</DocSecurity>
  <Lines>12</Lines>
  <Paragraphs>3</Paragraphs>
  <ScaleCrop>false</ScaleCrop>
  <Company>微软中国</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2017-06-01T03:15:00Z</dcterms:created>
  <dcterms:modified xsi:type="dcterms:W3CDTF">2017-06-01T03:15:00Z</dcterms:modified>
</cp:coreProperties>
</file>